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41" w:val="left" w:leader="none"/>
        </w:tabs>
        <w:spacing w:line="240" w:lineRule="auto"/>
        <w:ind w:left="1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64134" cy="6156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134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4"/>
          <w:sz w:val="20"/>
        </w:rPr>
        <w:drawing>
          <wp:inline distT="0" distB="0" distL="0" distR="0">
            <wp:extent cx="1958644" cy="52463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644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spacing w:before="94"/>
        <w:ind w:left="519"/>
      </w:pPr>
      <w:r>
        <w:rPr/>
        <w:t>Boletín núm. P068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before="93"/>
        <w:ind w:left="5073"/>
      </w:pPr>
      <w:r>
        <w:rPr/>
        <w:t>Ciudad de México, a 0 8 de diciembre de 2017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662"/>
      </w:pPr>
      <w:r>
        <w:rPr/>
        <w:t>MIGRACIÓN DE PLATAFORMA DE MAT RFC PADRÓN DE IMPORTADORES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936" w:val="left" w:leader="none"/>
        </w:tabs>
        <w:spacing w:line="264" w:lineRule="auto" w:before="150"/>
        <w:ind w:left="662" w:right="355"/>
      </w:pPr>
      <w:r>
        <w:rPr>
          <w:spacing w:val="1"/>
        </w:rPr>
        <w:t>Mediante </w:t>
      </w:r>
      <w:r>
        <w:rPr/>
        <w:t>el presente se </w:t>
      </w:r>
      <w:r>
        <w:rPr>
          <w:spacing w:val="2"/>
        </w:rPr>
        <w:t>informa </w:t>
      </w:r>
      <w:r>
        <w:rPr/>
        <w:t>que a </w:t>
      </w:r>
      <w:r>
        <w:rPr>
          <w:spacing w:val="3"/>
        </w:rPr>
        <w:t>partir </w:t>
      </w:r>
      <w:r>
        <w:rPr/>
        <w:t>del viernes 8 de diciembre a las </w:t>
      </w:r>
      <w:r>
        <w:rPr>
          <w:spacing w:val="3"/>
        </w:rPr>
        <w:t>17:00 </w:t>
      </w:r>
      <w:r>
        <w:rPr/>
        <w:t>hrs. al domingo  </w:t>
      </w:r>
      <w:r>
        <w:rPr>
          <w:spacing w:val="5"/>
        </w:rPr>
        <w:t>10  </w:t>
      </w:r>
      <w:r>
        <w:rPr/>
        <w:t>de </w:t>
      </w:r>
      <w:r>
        <w:rPr>
          <w:spacing w:val="3"/>
        </w:rPr>
        <w:t> </w:t>
      </w:r>
      <w:r>
        <w:rPr/>
        <w:t>diciembre </w:t>
      </w:r>
      <w:r>
        <w:rPr>
          <w:spacing w:val="2"/>
        </w:rPr>
        <w:t> </w:t>
      </w:r>
      <w:r>
        <w:rPr/>
        <w:t>de</w:t>
        <w:tab/>
      </w:r>
      <w:r>
        <w:rPr>
          <w:spacing w:val="5"/>
        </w:rPr>
        <w:t>2017</w:t>
      </w:r>
      <w:r>
        <w:rPr>
          <w:spacing w:val="72"/>
        </w:rPr>
        <w:t> </w:t>
      </w:r>
      <w:r>
        <w:rPr/>
        <w:t>a las </w:t>
      </w:r>
      <w:r>
        <w:rPr>
          <w:spacing w:val="2"/>
        </w:rPr>
        <w:t>23:30 </w:t>
      </w:r>
      <w:r>
        <w:rPr/>
        <w:t>hrs., la </w:t>
      </w:r>
      <w:r>
        <w:rPr>
          <w:spacing w:val="3"/>
        </w:rPr>
        <w:t>plataforma </w:t>
      </w:r>
      <w:r>
        <w:rPr>
          <w:spacing w:val="1"/>
        </w:rPr>
        <w:t>tecnológica </w:t>
      </w:r>
      <w:r>
        <w:rPr/>
        <w:t>que </w:t>
      </w:r>
      <w:r>
        <w:rPr>
          <w:spacing w:val="2"/>
        </w:rPr>
        <w:t>contempla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Padrón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>
          <w:spacing w:val="1"/>
        </w:rPr>
        <w:t>Importadores</w:t>
      </w:r>
      <w:r>
        <w:rPr>
          <w:spacing w:val="-13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15"/>
        </w:rPr>
        <w:t> </w:t>
      </w:r>
      <w:r>
        <w:rPr/>
        <w:t>Padrón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1"/>
        </w:rPr>
        <w:t>Importadores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Sectores</w:t>
      </w:r>
      <w:r>
        <w:rPr>
          <w:spacing w:val="-17"/>
        </w:rPr>
        <w:t> </w:t>
      </w:r>
      <w:r>
        <w:rPr/>
        <w:t>Específicos quedará </w:t>
      </w:r>
      <w:r>
        <w:rPr>
          <w:spacing w:val="1"/>
        </w:rPr>
        <w:t>fuera </w:t>
      </w:r>
      <w:r>
        <w:rPr/>
        <w:t>de servicio para ingresar los </w:t>
      </w:r>
      <w:r>
        <w:rPr>
          <w:spacing w:val="3"/>
        </w:rPr>
        <w:t>trámites </w:t>
      </w:r>
      <w:r>
        <w:rPr/>
        <w:t>relacionados con los padrones de referencia: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3"/>
        </w:rPr>
      </w:pPr>
    </w:p>
    <w:p>
      <w:pPr>
        <w:pStyle w:val="Heading1"/>
        <w:numPr>
          <w:ilvl w:val="0"/>
          <w:numId w:val="1"/>
        </w:numPr>
        <w:tabs>
          <w:tab w:pos="1381" w:val="left" w:leader="none"/>
          <w:tab w:pos="1382" w:val="left" w:leader="none"/>
        </w:tabs>
        <w:spacing w:line="240" w:lineRule="auto" w:before="0" w:after="0"/>
        <w:ind w:left="1381" w:right="0" w:hanging="359"/>
        <w:jc w:val="left"/>
      </w:pPr>
      <w:r>
        <w:rPr/>
        <w:t>Inscripción al Padrón de</w:t>
      </w:r>
      <w:r>
        <w:rPr>
          <w:spacing w:val="15"/>
        </w:rPr>
        <w:t> </w:t>
      </w:r>
      <w:r>
        <w:rPr>
          <w:spacing w:val="2"/>
        </w:rPr>
        <w:t>Importadores.</w:t>
      </w:r>
    </w:p>
    <w:p>
      <w:pPr>
        <w:pStyle w:val="ListParagraph"/>
        <w:numPr>
          <w:ilvl w:val="0"/>
          <w:numId w:val="1"/>
        </w:numPr>
        <w:tabs>
          <w:tab w:pos="1382" w:val="left" w:leader="none"/>
          <w:tab w:pos="1383" w:val="left" w:leader="none"/>
        </w:tabs>
        <w:spacing w:line="240" w:lineRule="auto" w:before="9" w:after="0"/>
        <w:ind w:left="1382" w:right="0" w:hanging="360"/>
        <w:jc w:val="left"/>
        <w:rPr>
          <w:sz w:val="24"/>
        </w:rPr>
      </w:pPr>
      <w:r>
        <w:rPr>
          <w:spacing w:val="1"/>
          <w:sz w:val="24"/>
        </w:rPr>
        <w:t>Actualización </w:t>
      </w:r>
      <w:r>
        <w:rPr>
          <w:sz w:val="24"/>
        </w:rPr>
        <w:t>de Sectores</w:t>
      </w:r>
      <w:r>
        <w:rPr>
          <w:spacing w:val="16"/>
          <w:sz w:val="24"/>
        </w:rPr>
        <w:t> </w:t>
      </w:r>
      <w:r>
        <w:rPr>
          <w:sz w:val="24"/>
        </w:rPr>
        <w:t>Específicos.</w:t>
      </w:r>
    </w:p>
    <w:p>
      <w:pPr>
        <w:pStyle w:val="ListParagraph"/>
        <w:numPr>
          <w:ilvl w:val="0"/>
          <w:numId w:val="1"/>
        </w:numPr>
        <w:tabs>
          <w:tab w:pos="1382" w:val="left" w:leader="none"/>
          <w:tab w:pos="1383" w:val="left" w:leader="none"/>
        </w:tabs>
        <w:spacing w:line="240" w:lineRule="auto" w:before="10" w:after="0"/>
        <w:ind w:left="1382" w:right="0" w:hanging="360"/>
        <w:jc w:val="left"/>
        <w:rPr>
          <w:sz w:val="24"/>
        </w:rPr>
      </w:pPr>
      <w:r>
        <w:rPr>
          <w:spacing w:val="1"/>
          <w:sz w:val="24"/>
        </w:rPr>
        <w:t>Actualización </w:t>
      </w:r>
      <w:r>
        <w:rPr>
          <w:sz w:val="24"/>
        </w:rPr>
        <w:t>de Encargos</w:t>
      </w:r>
      <w:r>
        <w:rPr>
          <w:spacing w:val="33"/>
          <w:sz w:val="24"/>
        </w:rPr>
        <w:t> </w:t>
      </w:r>
      <w:r>
        <w:rPr>
          <w:sz w:val="24"/>
        </w:rPr>
        <w:t>Conferidos.</w:t>
      </w:r>
    </w:p>
    <w:p>
      <w:pPr>
        <w:pStyle w:val="ListParagraph"/>
        <w:numPr>
          <w:ilvl w:val="0"/>
          <w:numId w:val="1"/>
        </w:numPr>
        <w:tabs>
          <w:tab w:pos="1380" w:val="left" w:leader="none"/>
          <w:tab w:pos="1382" w:val="left" w:leader="none"/>
        </w:tabs>
        <w:spacing w:line="240" w:lineRule="auto" w:before="9" w:after="0"/>
        <w:ind w:left="1381" w:right="0" w:hanging="359"/>
        <w:jc w:val="left"/>
        <w:rPr>
          <w:sz w:val="24"/>
        </w:rPr>
      </w:pPr>
      <w:r>
        <w:rPr>
          <w:sz w:val="24"/>
        </w:rPr>
        <w:t>Suspensión en el Padrón de</w:t>
      </w:r>
      <w:r>
        <w:rPr>
          <w:spacing w:val="-18"/>
          <w:sz w:val="24"/>
        </w:rPr>
        <w:t> </w:t>
      </w:r>
      <w:r>
        <w:rPr>
          <w:spacing w:val="2"/>
          <w:sz w:val="24"/>
        </w:rPr>
        <w:t>Importadores.</w:t>
      </w:r>
    </w:p>
    <w:p>
      <w:pPr>
        <w:pStyle w:val="ListParagraph"/>
        <w:numPr>
          <w:ilvl w:val="0"/>
          <w:numId w:val="1"/>
        </w:numPr>
        <w:tabs>
          <w:tab w:pos="1381" w:val="left" w:leader="none"/>
          <w:tab w:pos="1382" w:val="left" w:leader="none"/>
        </w:tabs>
        <w:spacing w:line="240" w:lineRule="auto" w:before="11" w:after="0"/>
        <w:ind w:left="1381" w:right="0" w:hanging="359"/>
        <w:jc w:val="left"/>
        <w:rPr>
          <w:sz w:val="24"/>
        </w:rPr>
      </w:pPr>
      <w:r>
        <w:rPr>
          <w:sz w:val="24"/>
        </w:rPr>
        <w:t>Reinscripción al Padrón de</w:t>
      </w:r>
      <w:r>
        <w:rPr>
          <w:spacing w:val="23"/>
          <w:sz w:val="24"/>
        </w:rPr>
        <w:t> </w:t>
      </w:r>
      <w:r>
        <w:rPr>
          <w:spacing w:val="2"/>
          <w:sz w:val="24"/>
        </w:rPr>
        <w:t>Importadores.</w:t>
      </w:r>
    </w:p>
    <w:p>
      <w:pPr>
        <w:pStyle w:val="BodyText"/>
        <w:rPr>
          <w:sz w:val="28"/>
        </w:rPr>
      </w:pPr>
    </w:p>
    <w:p>
      <w:pPr>
        <w:pStyle w:val="BodyText"/>
        <w:spacing w:before="182"/>
        <w:ind w:left="661"/>
      </w:pPr>
      <w:r>
        <w:rPr/>
        <w:t>Sin más por el momento, reciba un cordial saludo.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line="273" w:lineRule="auto" w:before="96"/>
        <w:ind w:left="1361" w:right="775" w:hanging="458"/>
        <w:jc w:val="left"/>
        <w:rPr>
          <w:sz w:val="16"/>
        </w:rPr>
      </w:pPr>
      <w:r>
        <w:rPr>
          <w:color w:val="808080"/>
          <w:w w:val="105"/>
          <w:sz w:val="16"/>
        </w:rPr>
        <w:t>Servicio de Administración Tributaria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Av. Hidalgo, núm. 77, col. Guerrero, delegación Cuauhtémoc, Ciudad de México , c. p. 06300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Tel. </w:t>
      </w:r>
      <w:r>
        <w:rPr>
          <w:color w:val="00AF50"/>
          <w:w w:val="105"/>
          <w:sz w:val="16"/>
        </w:rPr>
        <w:t>M ar caSA T </w:t>
      </w:r>
      <w:r>
        <w:rPr>
          <w:color w:val="1F487C"/>
          <w:w w:val="105"/>
          <w:sz w:val="16"/>
        </w:rPr>
        <w:t>: </w:t>
      </w:r>
      <w:r>
        <w:rPr>
          <w:color w:val="00AF50"/>
          <w:w w:val="105"/>
          <w:sz w:val="16"/>
        </w:rPr>
        <w:t>627 22 728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documento disponible en </w:t>
      </w:r>
      <w:hyperlink r:id="rId7">
        <w:r>
          <w:rPr>
            <w:color w:val="0000FF"/>
            <w:w w:val="105"/>
            <w:sz w:val="16"/>
            <w:u w:val="single" w:color="0000FF"/>
          </w:rPr>
          <w:t>w w w .sat .g ob.m x</w:t>
        </w:r>
        <w:r>
          <w:rPr>
            <w:color w:val="0000FF"/>
            <w:sz w:val="16"/>
            <w:u w:val="single" w:color="0000FF"/>
          </w:rPr>
          <w:t> </w:t>
        </w:r>
      </w:hyperlink>
    </w:p>
    <w:p>
      <w:pPr>
        <w:pStyle w:val="BodyText"/>
        <w:spacing w:before="5"/>
        <w:rPr>
          <w:sz w:val="14"/>
        </w:rPr>
      </w:pPr>
    </w:p>
    <w:p>
      <w:pPr>
        <w:spacing w:before="59"/>
        <w:ind w:left="0" w:right="254" w:firstLine="0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4F81BC"/>
          <w:sz w:val="20"/>
        </w:rPr>
        <w:t>Página 1 de 1</w:t>
      </w:r>
    </w:p>
    <w:sectPr>
      <w:type w:val="continuous"/>
      <w:pgSz w:w="12240" w:h="15840"/>
      <w:pgMar w:top="360" w:bottom="280" w:left="10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381" w:hanging="360"/>
      </w:pPr>
      <w:rPr>
        <w:rFonts w:hint="default" w:ascii="Symbol" w:hAnsi="Symbol" w:eastAsia="Symbol" w:cs="Symbol"/>
        <w:w w:val="100"/>
        <w:sz w:val="24"/>
        <w:szCs w:val="24"/>
        <w:lang w:val="es-mx" w:eastAsia="es-mx" w:bidi="es-mx"/>
      </w:rPr>
    </w:lvl>
    <w:lvl w:ilvl="1">
      <w:start w:val="0"/>
      <w:numFmt w:val="bullet"/>
      <w:lvlText w:val="•"/>
      <w:lvlJc w:val="left"/>
      <w:pPr>
        <w:ind w:left="2246" w:hanging="360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3112" w:hanging="360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3978" w:hanging="360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4844" w:hanging="360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6576" w:hanging="360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8308" w:hanging="360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mx" w:eastAsia="es-mx" w:bidi="es-mx"/>
    </w:rPr>
  </w:style>
  <w:style w:styleId="Heading1" w:type="paragraph">
    <w:name w:val="Heading 1"/>
    <w:basedOn w:val="Normal"/>
    <w:uiPriority w:val="1"/>
    <w:qFormat/>
    <w:pPr>
      <w:spacing w:before="9"/>
      <w:ind w:left="1381" w:hanging="359"/>
      <w:outlineLvl w:val="1"/>
    </w:pPr>
    <w:rPr>
      <w:rFonts w:ascii="Arial" w:hAnsi="Arial" w:eastAsia="Arial" w:cs="Arial"/>
      <w:sz w:val="24"/>
      <w:szCs w:val="24"/>
      <w:lang w:val="es-mx" w:eastAsia="es-mx" w:bidi="es-mx"/>
    </w:rPr>
  </w:style>
  <w:style w:styleId="ListParagraph" w:type="paragraph">
    <w:name w:val="List Paragraph"/>
    <w:basedOn w:val="Normal"/>
    <w:uiPriority w:val="1"/>
    <w:qFormat/>
    <w:pPr>
      <w:spacing w:before="9"/>
      <w:ind w:left="1381" w:hanging="359"/>
    </w:pPr>
    <w:rPr>
      <w:rFonts w:ascii="Arial" w:hAnsi="Arial" w:eastAsia="Arial" w:cs="Arial"/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sat.gob.mx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2017-12-13T23:00:52Z</dcterms:created>
  <dcterms:modified xsi:type="dcterms:W3CDTF">2017-12-13T23:00:52Z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2017-12-13T00:00:00Z</vt:filetime>
  </property>
</Properties>
</file>